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04" w:rsidRPr="00313B58" w:rsidRDefault="00014004" w:rsidP="00014004">
      <w:pPr>
        <w:jc w:val="center"/>
        <w:rPr>
          <w:b/>
        </w:rPr>
      </w:pPr>
      <w:r w:rsidRPr="00313B58">
        <w:rPr>
          <w:b/>
        </w:rPr>
        <w:t>RETIFICAÇÃO DE EDITAL</w:t>
      </w:r>
    </w:p>
    <w:p w:rsidR="00014004" w:rsidRPr="00313B58" w:rsidRDefault="00014004" w:rsidP="00014004">
      <w:pPr>
        <w:jc w:val="center"/>
        <w:rPr>
          <w:b/>
        </w:rPr>
      </w:pPr>
      <w:r w:rsidRPr="00313B58">
        <w:rPr>
          <w:b/>
        </w:rPr>
        <w:t>PROCESSO LICITATÓRIO N° 042/2018</w:t>
      </w:r>
    </w:p>
    <w:p w:rsidR="00014004" w:rsidRPr="00313B58" w:rsidRDefault="00014004" w:rsidP="00014004">
      <w:pPr>
        <w:jc w:val="center"/>
        <w:rPr>
          <w:b/>
        </w:rPr>
      </w:pPr>
      <w:r w:rsidRPr="00313B58">
        <w:rPr>
          <w:b/>
        </w:rPr>
        <w:t>PREGÃO PRESENCIAL N° 029/2018</w:t>
      </w:r>
    </w:p>
    <w:p w:rsidR="00014004" w:rsidRPr="00313B58" w:rsidRDefault="00014004" w:rsidP="00014004">
      <w:pPr>
        <w:jc w:val="center"/>
        <w:rPr>
          <w:b/>
          <w:sz w:val="18"/>
          <w:szCs w:val="18"/>
        </w:rPr>
      </w:pPr>
    </w:p>
    <w:p w:rsidR="00014004" w:rsidRPr="00313B58" w:rsidRDefault="00014004" w:rsidP="00014004">
      <w:pPr>
        <w:jc w:val="both"/>
      </w:pPr>
      <w:r w:rsidRPr="00313B58">
        <w:t xml:space="preserve">OBJETO: </w:t>
      </w:r>
      <w:r w:rsidRPr="00313B58">
        <w:rPr>
          <w:b/>
          <w:color w:val="000000"/>
        </w:rPr>
        <w:t>AQUISIÇÃO DE RETROESCADEIRA PARA O MUNICÍPIO DE VITOR MEIRELES</w:t>
      </w:r>
      <w:r w:rsidRPr="00313B58">
        <w:t xml:space="preserve">, de acordo com as especificações e quantitativos do Anexo I deste Edital. </w:t>
      </w:r>
    </w:p>
    <w:p w:rsidR="00014004" w:rsidRPr="00313B58" w:rsidRDefault="00014004" w:rsidP="00014004">
      <w:pPr>
        <w:jc w:val="both"/>
      </w:pPr>
    </w:p>
    <w:p w:rsidR="00014004" w:rsidRPr="00313B58" w:rsidRDefault="00014004" w:rsidP="00014004">
      <w:pPr>
        <w:jc w:val="both"/>
      </w:pPr>
      <w:r w:rsidRPr="00313B58">
        <w:t>Visando a maior competitividade, economicidade, melhor contratação, melhor conhecimento do objeto contratado, bem como melhor investimento dos recursos e atendimento ao interesse público, resolve-se por:</w:t>
      </w:r>
    </w:p>
    <w:p w:rsidR="00014004" w:rsidRPr="00313B58" w:rsidRDefault="00014004" w:rsidP="00014004">
      <w:pPr>
        <w:rPr>
          <w:sz w:val="18"/>
          <w:szCs w:val="18"/>
        </w:rPr>
      </w:pPr>
    </w:p>
    <w:p w:rsidR="00014004" w:rsidRPr="00313B58" w:rsidRDefault="00014004" w:rsidP="00014004">
      <w:pPr>
        <w:rPr>
          <w:b/>
          <w:sz w:val="22"/>
          <w:szCs w:val="22"/>
        </w:rPr>
      </w:pPr>
      <w:r w:rsidRPr="00313B58">
        <w:rPr>
          <w:b/>
          <w:sz w:val="22"/>
          <w:szCs w:val="22"/>
        </w:rPr>
        <w:t>ONDE LÊ-SE:</w:t>
      </w:r>
    </w:p>
    <w:p w:rsidR="00014004" w:rsidRPr="00014004" w:rsidRDefault="00014004" w:rsidP="00014004">
      <w:pPr>
        <w:jc w:val="center"/>
        <w:rPr>
          <w:b/>
          <w:bCs/>
          <w:color w:val="000000"/>
          <w:sz w:val="72"/>
          <w:szCs w:val="72"/>
        </w:rPr>
      </w:pPr>
      <w:r w:rsidRPr="00014004">
        <w:rPr>
          <w:b/>
          <w:bCs/>
          <w:color w:val="000000"/>
          <w:sz w:val="72"/>
          <w:szCs w:val="72"/>
        </w:rPr>
        <w:t>ANEXO I</w:t>
      </w:r>
    </w:p>
    <w:p w:rsidR="00014004" w:rsidRPr="00014004" w:rsidRDefault="00014004" w:rsidP="00014004">
      <w:pPr>
        <w:jc w:val="center"/>
        <w:rPr>
          <w:b/>
          <w:bCs/>
          <w:color w:val="000000"/>
        </w:rPr>
      </w:pPr>
      <w:r w:rsidRPr="00014004">
        <w:rPr>
          <w:b/>
          <w:bCs/>
          <w:color w:val="000000"/>
        </w:rPr>
        <w:t xml:space="preserve">TERMO DE REFERÊNCIA </w:t>
      </w:r>
    </w:p>
    <w:p w:rsidR="00014004" w:rsidRPr="00014004" w:rsidRDefault="00014004" w:rsidP="00014004">
      <w:pPr>
        <w:jc w:val="center"/>
        <w:rPr>
          <w:b/>
          <w:bCs/>
          <w:color w:val="000000"/>
        </w:rPr>
      </w:pPr>
      <w:r w:rsidRPr="00014004">
        <w:rPr>
          <w:b/>
          <w:bCs/>
          <w:color w:val="000000"/>
        </w:rPr>
        <w:t>ESPECIFICAÇÕES DO OBJETO</w:t>
      </w:r>
    </w:p>
    <w:p w:rsidR="00014004" w:rsidRPr="00014004" w:rsidRDefault="00014004" w:rsidP="00014004">
      <w:pPr>
        <w:jc w:val="center"/>
        <w:rPr>
          <w:b/>
          <w:bCs/>
          <w:color w:val="000000"/>
        </w:rPr>
      </w:pPr>
    </w:p>
    <w:tbl>
      <w:tblPr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014004" w:rsidRPr="00014004" w:rsidTr="00786501"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890" w:type="dxa"/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1417"/>
              <w:gridCol w:w="994"/>
              <w:gridCol w:w="5629"/>
            </w:tblGrid>
            <w:tr w:rsidR="00014004" w:rsidRPr="00014004" w:rsidTr="008C007C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Pr="00014004" w:rsidRDefault="00014004" w:rsidP="0001400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bookmarkStart w:id="0" w:name="__bookmark_18"/>
                  <w:bookmarkStart w:id="1" w:name="__bookmark_19"/>
                  <w:bookmarkEnd w:id="0"/>
                  <w:bookmarkEnd w:id="1"/>
                  <w:r w:rsidRPr="0001400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Pr="00014004" w:rsidRDefault="00014004" w:rsidP="0001400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1400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Quantidade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Pr="00014004" w:rsidRDefault="00014004" w:rsidP="0001400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1400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56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Pr="00014004" w:rsidRDefault="00014004" w:rsidP="0001400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1400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Descrição</w:t>
                  </w:r>
                </w:p>
              </w:tc>
            </w:tr>
            <w:tr w:rsidR="00014004" w:rsidRPr="00014004" w:rsidTr="008C007C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Pr="00014004" w:rsidRDefault="00014004" w:rsidP="000140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140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Pr="00014004" w:rsidRDefault="00014004" w:rsidP="0001400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140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Pr="00014004" w:rsidRDefault="00014004" w:rsidP="0001400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14004">
                    <w:rPr>
                      <w:color w:val="000000"/>
                      <w:sz w:val="20"/>
                      <w:szCs w:val="20"/>
                    </w:rPr>
                    <w:t>UN</w:t>
                  </w:r>
                </w:p>
              </w:tc>
              <w:tc>
                <w:tcPr>
                  <w:tcW w:w="56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07C" w:rsidRDefault="008C007C" w:rsidP="008C007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9147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RETROESCAVADEIRA, </w:t>
                  </w:r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nova zero horas, ano e modelo não inferior a 2018, tração 4x4, turbo alimentado, motor do mesmo fabricante do equipamento, com no mínimo 85 HP, transmissão com quatro (04) marchas </w:t>
                  </w:r>
                  <w:proofErr w:type="spellStart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á</w:t>
                  </w:r>
                  <w:proofErr w:type="spellEnd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frente e duas (02) ré no mínimo, pneus (medidas mínimas) dianteiros 12 x 16.5 e traseiro 19,5x24; chassi monobloco, caçamba da carregadeira com capacidade mínima de 0,85m³, dentada, caçamba da retro com capacidade mínimo de 0,25m³, dentadas, profundidade de escavação de no mínimo de 4m; controles pilotados da retroescavadeira com joystick (</w:t>
                  </w:r>
                  <w:proofErr w:type="spellStart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pilot</w:t>
                  </w:r>
                  <w:proofErr w:type="spellEnd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control</w:t>
                  </w:r>
                  <w:proofErr w:type="spellEnd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). Joystick além de ser uma tecnologia nova, proporciona maior precisão dos trabalhos, maior ergonomia para o operador devido </w:t>
                  </w:r>
                  <w:proofErr w:type="spellStart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a</w:t>
                  </w:r>
                  <w:proofErr w:type="spellEnd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pouca mobilidade e mínimo esforço braçal, cabine fechada com ar condicionado de fábrica, direção hidráulica, luzes de trabalho diurna e noturna; cabine fechada </w:t>
                  </w:r>
                  <w:proofErr w:type="spellStart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rops</w:t>
                  </w:r>
                  <w:proofErr w:type="spellEnd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/</w:t>
                  </w:r>
                  <w:proofErr w:type="spellStart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fops</w:t>
                  </w:r>
                  <w:proofErr w:type="spellEnd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 w:rsidRPr="0089147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FOPS </w:t>
                  </w:r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é uma abreviação do termo inglês </w:t>
                  </w:r>
                  <w:proofErr w:type="spellStart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Falling</w:t>
                  </w:r>
                  <w:proofErr w:type="spellEnd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Objects</w:t>
                  </w:r>
                  <w:proofErr w:type="spellEnd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Protective</w:t>
                  </w:r>
                  <w:proofErr w:type="spellEnd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Structure</w:t>
                  </w:r>
                  <w:proofErr w:type="spellEnd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que significa Estrutura Com Proteção Contra Queda de Objetos. O principal objetivo desta estrutura é fornecer proteção ao operador em caso de quedas de objetos, como pedras, galhos, troncos. </w:t>
                  </w:r>
                  <w:r w:rsidRPr="0089147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ROPS </w:t>
                  </w:r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é a abreviação do termo inglês </w:t>
                  </w:r>
                  <w:proofErr w:type="spellStart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Roll</w:t>
                  </w:r>
                  <w:proofErr w:type="spellEnd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Over </w:t>
                  </w:r>
                  <w:proofErr w:type="spellStart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Protective</w:t>
                  </w:r>
                  <w:proofErr w:type="spellEnd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Structure</w:t>
                  </w:r>
                  <w:proofErr w:type="spellEnd"/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que significa Estrutura Protetora Contra Capotamento, com para-brisa frontal, limpador e lavador, peso </w:t>
                  </w:r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operacional mínimo de 7.000kg, período de garantia de no mínimo 12 meses a contar da data da emissão da nota fiscal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 w:rsidRPr="008914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entrega (até 90 dias após ordem de compra). </w:t>
                  </w:r>
                </w:p>
                <w:p w:rsidR="00014004" w:rsidRPr="00014004" w:rsidRDefault="00014004" w:rsidP="0001400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14004" w:rsidRPr="00014004" w:rsidTr="008C007C">
              <w:tc>
                <w:tcPr>
                  <w:tcW w:w="3261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Pr="00014004" w:rsidRDefault="00014004" w:rsidP="000140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014004">
                    <w:rPr>
                      <w:color w:val="000000"/>
                      <w:sz w:val="20"/>
                      <w:szCs w:val="20"/>
                    </w:rPr>
                    <w:lastRenderedPageBreak/>
                    <w:t>Vlr</w:t>
                  </w:r>
                  <w:proofErr w:type="spellEnd"/>
                  <w:r w:rsidRPr="0001400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14004">
                    <w:rPr>
                      <w:color w:val="000000"/>
                      <w:sz w:val="20"/>
                      <w:szCs w:val="20"/>
                    </w:rPr>
                    <w:t>Máx.Unit</w:t>
                  </w:r>
                  <w:proofErr w:type="spellEnd"/>
                  <w:r w:rsidRPr="00014004">
                    <w:rPr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6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Pr="00014004" w:rsidRDefault="00014004" w:rsidP="00014004">
                  <w:pPr>
                    <w:rPr>
                      <w:color w:val="000000"/>
                    </w:rPr>
                  </w:pPr>
                  <w:r w:rsidRPr="00014004">
                    <w:rPr>
                      <w:color w:val="000000"/>
                    </w:rPr>
                    <w:t>234.000,00</w:t>
                  </w:r>
                </w:p>
              </w:tc>
            </w:tr>
            <w:tr w:rsidR="00014004" w:rsidRPr="00014004" w:rsidTr="008C007C">
              <w:tc>
                <w:tcPr>
                  <w:tcW w:w="3261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Pr="00014004" w:rsidRDefault="00014004" w:rsidP="000140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14004">
                    <w:rPr>
                      <w:color w:val="000000"/>
                      <w:sz w:val="20"/>
                      <w:szCs w:val="20"/>
                    </w:rPr>
                    <w:t>Cotação Máx.:</w:t>
                  </w:r>
                </w:p>
              </w:tc>
              <w:tc>
                <w:tcPr>
                  <w:tcW w:w="56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Pr="00014004" w:rsidRDefault="00014004" w:rsidP="00014004">
                  <w:pPr>
                    <w:rPr>
                      <w:b/>
                      <w:color w:val="000000"/>
                    </w:rPr>
                  </w:pPr>
                  <w:r w:rsidRPr="00014004">
                    <w:rPr>
                      <w:b/>
                      <w:color w:val="000000"/>
                    </w:rPr>
                    <w:t>234.000,00</w:t>
                  </w:r>
                </w:p>
              </w:tc>
            </w:tr>
            <w:tr w:rsidR="00014004" w:rsidRPr="00014004" w:rsidTr="008C007C">
              <w:trPr>
                <w:trHeight w:hRule="exact" w:val="170"/>
              </w:trPr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Pr="00014004" w:rsidRDefault="00014004" w:rsidP="00014004">
                  <w:pPr>
                    <w:spacing w:line="1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Pr="00014004" w:rsidRDefault="00014004" w:rsidP="00014004">
                  <w:pPr>
                    <w:spacing w:line="1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Pr="00014004" w:rsidRDefault="00014004" w:rsidP="00014004">
                  <w:pPr>
                    <w:spacing w:line="1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Pr="00014004" w:rsidRDefault="00014004" w:rsidP="00014004">
                  <w:pPr>
                    <w:spacing w:line="1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14004" w:rsidRPr="00014004" w:rsidRDefault="00014004" w:rsidP="00014004">
            <w:pPr>
              <w:spacing w:line="1" w:lineRule="auto"/>
              <w:rPr>
                <w:sz w:val="20"/>
                <w:szCs w:val="20"/>
              </w:rPr>
            </w:pPr>
          </w:p>
        </w:tc>
      </w:tr>
    </w:tbl>
    <w:p w:rsidR="00014004" w:rsidRPr="00685F7D" w:rsidRDefault="00014004" w:rsidP="00014004">
      <w:pPr>
        <w:rPr>
          <w:rFonts w:ascii="Arial" w:hAnsi="Arial" w:cs="Arial"/>
          <w:b/>
          <w:sz w:val="18"/>
          <w:szCs w:val="18"/>
        </w:rPr>
      </w:pPr>
    </w:p>
    <w:p w:rsidR="00014004" w:rsidRPr="00724937" w:rsidRDefault="00014004" w:rsidP="00014004">
      <w:pPr>
        <w:rPr>
          <w:rFonts w:ascii="Arial" w:hAnsi="Arial" w:cs="Arial"/>
          <w:sz w:val="18"/>
          <w:szCs w:val="18"/>
        </w:rPr>
      </w:pPr>
    </w:p>
    <w:p w:rsidR="00014004" w:rsidRDefault="00014004" w:rsidP="00014004">
      <w:pPr>
        <w:rPr>
          <w:rFonts w:ascii="Arial" w:hAnsi="Arial" w:cs="Arial"/>
          <w:sz w:val="18"/>
          <w:szCs w:val="18"/>
        </w:rPr>
      </w:pPr>
    </w:p>
    <w:p w:rsidR="00014004" w:rsidRPr="00313B58" w:rsidRDefault="00014004" w:rsidP="00014004">
      <w:pPr>
        <w:rPr>
          <w:b/>
          <w:sz w:val="22"/>
          <w:szCs w:val="22"/>
        </w:rPr>
      </w:pPr>
      <w:r w:rsidRPr="00313B58">
        <w:rPr>
          <w:b/>
          <w:sz w:val="22"/>
          <w:szCs w:val="22"/>
        </w:rPr>
        <w:t>LEIA-SE:</w:t>
      </w:r>
    </w:p>
    <w:p w:rsidR="00014004" w:rsidRDefault="00014004" w:rsidP="00014004">
      <w:pPr>
        <w:rPr>
          <w:rFonts w:ascii="Arial" w:hAnsi="Arial" w:cs="Arial"/>
          <w:sz w:val="18"/>
          <w:szCs w:val="18"/>
        </w:rPr>
      </w:pPr>
    </w:p>
    <w:p w:rsidR="00014004" w:rsidRDefault="00014004" w:rsidP="00014004">
      <w:pPr>
        <w:jc w:val="center"/>
        <w:rPr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>ANEXO I</w:t>
      </w:r>
    </w:p>
    <w:p w:rsidR="00014004" w:rsidRDefault="00014004" w:rsidP="0001400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TERMO DE REFERÊNCIA </w:t>
      </w:r>
    </w:p>
    <w:p w:rsidR="00014004" w:rsidRDefault="00014004" w:rsidP="0001400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ESPECIFICAÇÕES DO OBJETO</w:t>
      </w:r>
    </w:p>
    <w:p w:rsidR="00014004" w:rsidRDefault="00014004" w:rsidP="00014004">
      <w:pPr>
        <w:jc w:val="center"/>
        <w:rPr>
          <w:b/>
          <w:bCs/>
          <w:color w:val="000000"/>
        </w:rPr>
      </w:pPr>
    </w:p>
    <w:tbl>
      <w:tblPr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014004" w:rsidTr="00786501"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890" w:type="dxa"/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1417"/>
              <w:gridCol w:w="1417"/>
              <w:gridCol w:w="5206"/>
            </w:tblGrid>
            <w:tr w:rsidR="00014004" w:rsidTr="00786501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Default="00014004" w:rsidP="00786501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Item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Default="00014004" w:rsidP="0078650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Quantidade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Default="00014004" w:rsidP="0078650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Unidade</w:t>
                  </w:r>
                </w:p>
              </w:tc>
              <w:tc>
                <w:tcPr>
                  <w:tcW w:w="5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Default="00014004" w:rsidP="00786501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Descrição</w:t>
                  </w:r>
                </w:p>
              </w:tc>
            </w:tr>
            <w:tr w:rsidR="00014004" w:rsidTr="00786501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Default="00014004" w:rsidP="0078650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Default="00014004" w:rsidP="007865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Default="00014004" w:rsidP="007865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UN</w:t>
                  </w:r>
                </w:p>
              </w:tc>
              <w:tc>
                <w:tcPr>
                  <w:tcW w:w="5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07C" w:rsidRDefault="008C007C" w:rsidP="008C007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</w:pPr>
                  <w:r w:rsidRPr="00014004">
                    <w:rPr>
                      <w:rFonts w:eastAsiaTheme="minorHAnsi"/>
                      <w:b/>
                      <w:bCs/>
                      <w:color w:val="000000"/>
                      <w:sz w:val="26"/>
                      <w:szCs w:val="26"/>
                      <w:lang w:eastAsia="en-US"/>
                    </w:rPr>
                    <w:t xml:space="preserve">RETROESCAVADEIRA, </w:t>
                  </w:r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 xml:space="preserve">nova zero horas, ano e modelo não inferior a 2018, tração 4x4, turbo alimentado, motor do mesmo fabricante do equipamento, com no mínimo 85 HP, transmissão com quatro (04) marchas </w:t>
                  </w:r>
                  <w:proofErr w:type="spellStart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>á</w:t>
                  </w:r>
                  <w:proofErr w:type="spellEnd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 xml:space="preserve"> frente e duas (02) ré no mínimo, pneus (medidas mínimas) dianteiros 12 x 16.5 e traseiro 19,5x24; chassi monobloco, caçamba da carregadeira com capacidade mínima de 0,85m³, dentada, caçamba da retro com capacidade mínimo de 0,25m³, dentadas, profundidade de escavação de no mínimo de 4m; </w:t>
                  </w:r>
                </w:p>
                <w:p w:rsidR="008C007C" w:rsidRPr="00014004" w:rsidRDefault="008C007C" w:rsidP="008C007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 xml:space="preserve">Comando hidráulico traseiro acionado por  alavancas mecânicas ou </w:t>
                  </w:r>
                  <w:r w:rsidRPr="00891470">
                    <w:rPr>
                      <w:sz w:val="26"/>
                      <w:szCs w:val="26"/>
                    </w:rPr>
                    <w:t>com joysti</w:t>
                  </w:r>
                  <w:bookmarkStart w:id="2" w:name="_GoBack"/>
                  <w:bookmarkEnd w:id="2"/>
                  <w:r w:rsidRPr="00891470">
                    <w:rPr>
                      <w:sz w:val="26"/>
                      <w:szCs w:val="26"/>
                    </w:rPr>
                    <w:t>ck</w:t>
                  </w:r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 xml:space="preserve">, cabine fechada com ar condicionado de fábrica, direção hidráulica, luzes de trabalho diurna e noturna; cabine fechada </w:t>
                  </w:r>
                  <w:proofErr w:type="spellStart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>rops</w:t>
                  </w:r>
                  <w:proofErr w:type="spellEnd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>/</w:t>
                  </w:r>
                  <w:proofErr w:type="spellStart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>fops</w:t>
                  </w:r>
                  <w:proofErr w:type="spellEnd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 xml:space="preserve">, </w:t>
                  </w:r>
                  <w:r w:rsidRPr="00014004">
                    <w:rPr>
                      <w:rFonts w:eastAsiaTheme="minorHAnsi"/>
                      <w:b/>
                      <w:bCs/>
                      <w:color w:val="000000"/>
                      <w:sz w:val="26"/>
                      <w:szCs w:val="26"/>
                      <w:lang w:eastAsia="en-US"/>
                    </w:rPr>
                    <w:t xml:space="preserve">FOPS </w:t>
                  </w:r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 xml:space="preserve">é uma abreviação do termo inglês </w:t>
                  </w:r>
                  <w:proofErr w:type="spellStart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>Falling</w:t>
                  </w:r>
                  <w:proofErr w:type="spellEnd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>Objects</w:t>
                  </w:r>
                  <w:proofErr w:type="spellEnd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>Protective</w:t>
                  </w:r>
                  <w:proofErr w:type="spellEnd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>Structure</w:t>
                  </w:r>
                  <w:proofErr w:type="spellEnd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 xml:space="preserve"> que significa Estrutura Com Proteção Contra Queda de Objetos. O principal objetivo desta estrutura é fornecer proteção ao operador em caso de quedas de objetos, como pedras, galhos, troncos. </w:t>
                  </w:r>
                  <w:r w:rsidRPr="00014004">
                    <w:rPr>
                      <w:rFonts w:eastAsiaTheme="minorHAnsi"/>
                      <w:b/>
                      <w:bCs/>
                      <w:color w:val="000000"/>
                      <w:sz w:val="26"/>
                      <w:szCs w:val="26"/>
                      <w:lang w:eastAsia="en-US"/>
                    </w:rPr>
                    <w:t xml:space="preserve">ROPS </w:t>
                  </w:r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 xml:space="preserve">é a abreviação do termo inglês </w:t>
                  </w:r>
                  <w:proofErr w:type="spellStart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>Roll</w:t>
                  </w:r>
                  <w:proofErr w:type="spellEnd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 xml:space="preserve"> Over </w:t>
                  </w:r>
                  <w:proofErr w:type="spellStart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>Protective</w:t>
                  </w:r>
                  <w:proofErr w:type="spellEnd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>Structure</w:t>
                  </w:r>
                  <w:proofErr w:type="spellEnd"/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 xml:space="preserve"> que significa Estrutura Protetora Contra Capotamento, com para-brisa frontal, limpador e lavador, peso </w:t>
                  </w:r>
                  <w:r w:rsidRPr="00014004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lastRenderedPageBreak/>
                    <w:t xml:space="preserve">operacional mínimo de 7.000kg, período de garantia de no mínimo 12 meses a contar da data da emissão da nota fiscal, entrega (até 90 dias após ordem de compra). </w:t>
                  </w:r>
                </w:p>
                <w:p w:rsidR="008C007C" w:rsidRPr="00891470" w:rsidRDefault="008C007C" w:rsidP="00786501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14004" w:rsidRDefault="00014004" w:rsidP="00786501">
                  <w:pPr>
                    <w:rPr>
                      <w:color w:val="000000"/>
                    </w:rPr>
                  </w:pPr>
                </w:p>
              </w:tc>
            </w:tr>
            <w:tr w:rsidR="00014004" w:rsidTr="00786501">
              <w:tc>
                <w:tcPr>
                  <w:tcW w:w="3684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Default="00014004" w:rsidP="00786501">
                  <w:pPr>
                    <w:jc w:val="right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lastRenderedPageBreak/>
                    <w:t>Vlr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Máx.Unit</w:t>
                  </w:r>
                  <w:proofErr w:type="spellEnd"/>
                  <w:r>
                    <w:rPr>
                      <w:color w:val="000000"/>
                    </w:rPr>
                    <w:t>:</w:t>
                  </w:r>
                </w:p>
              </w:tc>
              <w:tc>
                <w:tcPr>
                  <w:tcW w:w="5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Pr="008555C2" w:rsidRDefault="00014004" w:rsidP="00786501">
                  <w:pPr>
                    <w:rPr>
                      <w:color w:val="000000"/>
                    </w:rPr>
                  </w:pPr>
                  <w:r w:rsidRPr="008555C2">
                    <w:rPr>
                      <w:color w:val="000000"/>
                    </w:rPr>
                    <w:t>234</w:t>
                  </w:r>
                  <w:r>
                    <w:rPr>
                      <w:color w:val="000000"/>
                    </w:rPr>
                    <w:t>.</w:t>
                  </w:r>
                  <w:r w:rsidRPr="008555C2">
                    <w:rPr>
                      <w:color w:val="000000"/>
                    </w:rPr>
                    <w:t>000,00</w:t>
                  </w:r>
                </w:p>
              </w:tc>
            </w:tr>
            <w:tr w:rsidR="00014004" w:rsidTr="00786501">
              <w:tc>
                <w:tcPr>
                  <w:tcW w:w="3684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Default="00014004" w:rsidP="00786501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Cotação Máx.:</w:t>
                  </w:r>
                </w:p>
              </w:tc>
              <w:tc>
                <w:tcPr>
                  <w:tcW w:w="5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Pr="00666AD8" w:rsidRDefault="00014004" w:rsidP="00786501">
                  <w:pPr>
                    <w:rPr>
                      <w:b/>
                      <w:color w:val="000000"/>
                    </w:rPr>
                  </w:pPr>
                  <w:r w:rsidRPr="00666AD8">
                    <w:rPr>
                      <w:b/>
                      <w:color w:val="000000"/>
                    </w:rPr>
                    <w:t>234.000,00</w:t>
                  </w:r>
                </w:p>
              </w:tc>
            </w:tr>
            <w:tr w:rsidR="00014004" w:rsidTr="00786501">
              <w:trPr>
                <w:trHeight w:hRule="exact" w:val="170"/>
              </w:trPr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Default="00014004" w:rsidP="00786501">
                  <w:pPr>
                    <w:spacing w:line="1" w:lineRule="auto"/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Default="00014004" w:rsidP="0078650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Default="00014004" w:rsidP="0078650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004" w:rsidRDefault="00014004" w:rsidP="00786501">
                  <w:pPr>
                    <w:spacing w:line="1" w:lineRule="auto"/>
                    <w:jc w:val="center"/>
                  </w:pPr>
                </w:p>
              </w:tc>
            </w:tr>
          </w:tbl>
          <w:p w:rsidR="00014004" w:rsidRDefault="00014004" w:rsidP="00786501">
            <w:pPr>
              <w:spacing w:line="1" w:lineRule="auto"/>
            </w:pPr>
          </w:p>
        </w:tc>
      </w:tr>
    </w:tbl>
    <w:p w:rsidR="00014004" w:rsidRDefault="00014004" w:rsidP="00014004">
      <w:pPr>
        <w:jc w:val="both"/>
        <w:rPr>
          <w:rFonts w:ascii="Arial" w:hAnsi="Arial" w:cs="Arial"/>
          <w:sz w:val="18"/>
          <w:szCs w:val="18"/>
        </w:rPr>
      </w:pPr>
    </w:p>
    <w:p w:rsidR="00014004" w:rsidRDefault="00014004" w:rsidP="00014004">
      <w:pPr>
        <w:jc w:val="both"/>
        <w:rPr>
          <w:rFonts w:ascii="Arial" w:hAnsi="Arial" w:cs="Arial"/>
          <w:sz w:val="18"/>
          <w:szCs w:val="18"/>
        </w:rPr>
      </w:pPr>
    </w:p>
    <w:p w:rsidR="0041258A" w:rsidRDefault="0041258A" w:rsidP="00014004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1258A">
        <w:rPr>
          <w:rFonts w:eastAsiaTheme="minorHAnsi"/>
          <w:color w:val="000000"/>
          <w:sz w:val="26"/>
          <w:szCs w:val="26"/>
          <w:lang w:eastAsia="en-US"/>
        </w:rPr>
        <w:t>S</w:t>
      </w:r>
      <w:r w:rsidRPr="0041258A">
        <w:rPr>
          <w:rFonts w:eastAsiaTheme="minorHAnsi"/>
          <w:color w:val="000000"/>
          <w:sz w:val="26"/>
          <w:szCs w:val="26"/>
          <w:lang w:eastAsia="en-US"/>
        </w:rPr>
        <w:t>endo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41258A">
        <w:rPr>
          <w:rFonts w:eastAsiaTheme="minorHAnsi"/>
          <w:color w:val="000000"/>
          <w:sz w:val="26"/>
          <w:szCs w:val="26"/>
          <w:lang w:eastAsia="en-US"/>
        </w:rPr>
        <w:t xml:space="preserve">que a nova data de abertura será às </w:t>
      </w:r>
      <w:r w:rsidRPr="0041258A">
        <w:rPr>
          <w:rFonts w:eastAsiaTheme="minorHAnsi"/>
          <w:b/>
          <w:color w:val="000000"/>
          <w:sz w:val="26"/>
          <w:szCs w:val="26"/>
          <w:lang w:eastAsia="en-US"/>
        </w:rPr>
        <w:t>14h00min, do dia 03 de janeiro de 2019</w:t>
      </w:r>
      <w:r>
        <w:rPr>
          <w:rFonts w:eastAsiaTheme="minorHAnsi"/>
          <w:b/>
          <w:color w:val="000000"/>
          <w:sz w:val="26"/>
          <w:szCs w:val="26"/>
          <w:lang w:eastAsia="en-US"/>
        </w:rPr>
        <w:t>.</w:t>
      </w:r>
    </w:p>
    <w:p w:rsidR="0041258A" w:rsidRDefault="0041258A" w:rsidP="00014004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14004" w:rsidRPr="000C0DC2" w:rsidRDefault="00014004" w:rsidP="00014004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0C0DC2">
        <w:rPr>
          <w:rFonts w:eastAsiaTheme="minorHAnsi"/>
          <w:color w:val="000000"/>
          <w:sz w:val="26"/>
          <w:szCs w:val="26"/>
          <w:lang w:eastAsia="en-US"/>
        </w:rPr>
        <w:t>As demais informações permanecem inalteradas, conforme previsto no Art. 21, § 4°, da Lei n° 8.666/93.</w:t>
      </w:r>
    </w:p>
    <w:p w:rsidR="00014004" w:rsidRPr="000C0DC2" w:rsidRDefault="00014004" w:rsidP="00014004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14004" w:rsidRPr="000C0DC2" w:rsidRDefault="00014004" w:rsidP="00014004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14004" w:rsidRPr="000C0DC2" w:rsidRDefault="00014004" w:rsidP="00014004">
      <w:pPr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0C0DC2">
        <w:rPr>
          <w:rFonts w:eastAsiaTheme="minorHAnsi"/>
          <w:color w:val="000000"/>
          <w:sz w:val="26"/>
          <w:szCs w:val="26"/>
          <w:lang w:eastAsia="en-US"/>
        </w:rPr>
        <w:t>Vitor Meireles, 12 de dezembro de 2018.</w:t>
      </w:r>
    </w:p>
    <w:p w:rsidR="00014004" w:rsidRDefault="00014004" w:rsidP="00014004">
      <w:pPr>
        <w:jc w:val="right"/>
        <w:rPr>
          <w:rFonts w:ascii="Arial" w:hAnsi="Arial" w:cs="Arial"/>
          <w:sz w:val="18"/>
          <w:szCs w:val="18"/>
        </w:rPr>
      </w:pPr>
    </w:p>
    <w:p w:rsidR="00014004" w:rsidRDefault="00014004" w:rsidP="00014004">
      <w:pPr>
        <w:jc w:val="right"/>
        <w:rPr>
          <w:rFonts w:ascii="Arial" w:hAnsi="Arial" w:cs="Arial"/>
          <w:sz w:val="18"/>
          <w:szCs w:val="18"/>
        </w:rPr>
      </w:pPr>
    </w:p>
    <w:p w:rsidR="00014004" w:rsidRPr="00724937" w:rsidRDefault="00014004" w:rsidP="00014004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014004" w:rsidRPr="00724937" w:rsidRDefault="00014004" w:rsidP="0001400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014004" w:rsidRPr="00724937" w:rsidRDefault="00014004" w:rsidP="0001400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014004" w:rsidRPr="00724937" w:rsidRDefault="00014004" w:rsidP="0001400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014004" w:rsidRPr="000C0DC2" w:rsidRDefault="00014004" w:rsidP="00014004">
      <w:pPr>
        <w:autoSpaceDE w:val="0"/>
        <w:autoSpaceDN w:val="0"/>
        <w:adjustRightInd w:val="0"/>
        <w:jc w:val="center"/>
        <w:rPr>
          <w:b/>
        </w:rPr>
      </w:pPr>
      <w:r w:rsidRPr="000C0DC2">
        <w:rPr>
          <w:b/>
        </w:rPr>
        <w:t xml:space="preserve">BENTO FRANCISCO SILVY </w:t>
      </w:r>
    </w:p>
    <w:p w:rsidR="00014004" w:rsidRPr="000C0DC2" w:rsidRDefault="00014004" w:rsidP="00014004">
      <w:pPr>
        <w:autoSpaceDE w:val="0"/>
        <w:autoSpaceDN w:val="0"/>
        <w:adjustRightInd w:val="0"/>
        <w:jc w:val="center"/>
        <w:rPr>
          <w:b/>
        </w:rPr>
      </w:pPr>
      <w:r w:rsidRPr="000C0DC2">
        <w:rPr>
          <w:b/>
        </w:rPr>
        <w:t>Prefeito Municipal</w:t>
      </w:r>
    </w:p>
    <w:p w:rsidR="00213059" w:rsidRDefault="00A96E46"/>
    <w:sectPr w:rsidR="00213059" w:rsidSect="008C007C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04"/>
    <w:rsid w:val="00014004"/>
    <w:rsid w:val="000C0DC2"/>
    <w:rsid w:val="00313B58"/>
    <w:rsid w:val="0041258A"/>
    <w:rsid w:val="00703AB6"/>
    <w:rsid w:val="008C007C"/>
    <w:rsid w:val="00A96E46"/>
    <w:rsid w:val="00EF71A1"/>
    <w:rsid w:val="00F3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22ED5-C39E-4E75-8B08-4FB98B05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14004"/>
    <w:pPr>
      <w:keepNext/>
      <w:jc w:val="center"/>
      <w:outlineLvl w:val="2"/>
    </w:pPr>
    <w:rPr>
      <w:rFonts w:ascii="Verdana" w:eastAsia="Batang" w:hAnsi="Verdana"/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014004"/>
    <w:pPr>
      <w:keepNext/>
      <w:tabs>
        <w:tab w:val="left" w:pos="426"/>
      </w:tabs>
      <w:jc w:val="center"/>
      <w:outlineLvl w:val="5"/>
    </w:pPr>
    <w:rPr>
      <w:rFonts w:ascii="Verdana" w:eastAsia="Batang" w:hAnsi="Verdana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14004"/>
    <w:rPr>
      <w:rFonts w:ascii="Verdana" w:eastAsia="Batang" w:hAnsi="Verdana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14004"/>
    <w:rPr>
      <w:rFonts w:ascii="Verdana" w:eastAsia="Batang" w:hAnsi="Verdana" w:cs="Times New Roman"/>
      <w:b/>
      <w:szCs w:val="20"/>
      <w:lang w:eastAsia="pt-BR"/>
    </w:rPr>
  </w:style>
  <w:style w:type="paragraph" w:customStyle="1" w:styleId="Default">
    <w:name w:val="Default"/>
    <w:rsid w:val="000140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8</cp:revision>
  <dcterms:created xsi:type="dcterms:W3CDTF">2018-12-12T16:29:00Z</dcterms:created>
  <dcterms:modified xsi:type="dcterms:W3CDTF">2018-12-12T17:15:00Z</dcterms:modified>
</cp:coreProperties>
</file>