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BA" w:rsidRDefault="00A307BA" w:rsidP="00A307BA">
      <w:pPr>
        <w:pStyle w:val="Corpodetexto"/>
        <w:tabs>
          <w:tab w:val="left" w:pos="1701"/>
        </w:tabs>
        <w:ind w:firstLine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LEI COMPLEMENTAR Nº 0</w:t>
      </w:r>
      <w:r w:rsidR="008A7677">
        <w:rPr>
          <w:rFonts w:ascii="Times New Roman" w:hAnsi="Times New Roman"/>
          <w:b/>
          <w:sz w:val="25"/>
          <w:szCs w:val="25"/>
        </w:rPr>
        <w:t>43</w:t>
      </w:r>
      <w:r>
        <w:rPr>
          <w:rFonts w:ascii="Times New Roman" w:hAnsi="Times New Roman"/>
          <w:b/>
          <w:sz w:val="25"/>
          <w:szCs w:val="25"/>
        </w:rPr>
        <w:t>, DE 30 DE JUNHO DE 2009.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A307BA" w:rsidRDefault="00A307BA" w:rsidP="00A307BA">
      <w:pPr>
        <w:pStyle w:val="Corpodetexto"/>
        <w:ind w:left="4395" w:right="-1" w:hanging="31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>CRIA O NÚCLEO GESTOR DE PLANEJAMENTO TERRITORIAL, HABITACIONAL E DE SANEAMENTO BÁSICO DO MUNICÍPIO DE VITOR MEIRELES E DÁ OUTRAS PROVIDÊNCIAS</w:t>
      </w:r>
    </w:p>
    <w:p w:rsidR="00A307BA" w:rsidRDefault="00A307BA" w:rsidP="00A307BA">
      <w:pPr>
        <w:widowControl w:val="0"/>
        <w:spacing w:after="0" w:line="240" w:lineRule="auto"/>
        <w:ind w:firstLine="708"/>
        <w:rPr>
          <w:bCs/>
          <w:color w:val="000000"/>
          <w:sz w:val="16"/>
          <w:szCs w:val="16"/>
        </w:rPr>
      </w:pPr>
    </w:p>
    <w:p w:rsidR="00A307BA" w:rsidRDefault="00A307BA" w:rsidP="00A307BA">
      <w:pPr>
        <w:widowControl w:val="0"/>
        <w:spacing w:after="0" w:line="240" w:lineRule="auto"/>
        <w:ind w:firstLine="708"/>
        <w:rPr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O</w:t>
      </w:r>
      <w:r>
        <w:rPr>
          <w:color w:val="000000"/>
          <w:sz w:val="25"/>
          <w:szCs w:val="25"/>
        </w:rPr>
        <w:t xml:space="preserve"> </w:t>
      </w:r>
      <w:r>
        <w:rPr>
          <w:b/>
          <w:color w:val="000000"/>
          <w:sz w:val="25"/>
          <w:szCs w:val="25"/>
        </w:rPr>
        <w:t>Prefeito Municipal de Vitor Meireles</w:t>
      </w:r>
      <w:r>
        <w:rPr>
          <w:color w:val="000000"/>
          <w:sz w:val="25"/>
          <w:szCs w:val="25"/>
        </w:rPr>
        <w:t>, no uso de suas atribuições legais;</w:t>
      </w:r>
    </w:p>
    <w:p w:rsidR="00A307BA" w:rsidRDefault="00A307BA" w:rsidP="00A307BA">
      <w:pPr>
        <w:widowControl w:val="0"/>
        <w:spacing w:after="0" w:line="240" w:lineRule="auto"/>
        <w:ind w:firstLine="708"/>
        <w:rPr>
          <w:color w:val="000000"/>
          <w:sz w:val="25"/>
          <w:szCs w:val="25"/>
        </w:rPr>
      </w:pPr>
    </w:p>
    <w:p w:rsidR="00A307BA" w:rsidRDefault="00A307BA" w:rsidP="00A307BA">
      <w:pPr>
        <w:widowControl w:val="0"/>
        <w:spacing w:after="0"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Faço saber que a Câmara Municipal aprovou e eu sanciono e promulgo a seguinte lei: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Capítulo I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DA COMPETÊNCIA DO NÚCLEO GESTOR</w:t>
      </w:r>
    </w:p>
    <w:p w:rsidR="00A307BA" w:rsidRDefault="00A307BA" w:rsidP="00A307BA">
      <w:pPr>
        <w:spacing w:after="120" w:line="240" w:lineRule="auto"/>
        <w:ind w:firstLine="851"/>
        <w:rPr>
          <w:b/>
          <w:sz w:val="16"/>
          <w:szCs w:val="16"/>
        </w:rPr>
      </w:pP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b/>
          <w:sz w:val="25"/>
          <w:szCs w:val="25"/>
        </w:rPr>
        <w:t xml:space="preserve">Art. 1º </w:t>
      </w:r>
      <w:r>
        <w:rPr>
          <w:sz w:val="25"/>
          <w:szCs w:val="25"/>
        </w:rPr>
        <w:t xml:space="preserve">Fica criado o Núcleo Gestor de Planejamento - NGP do município de Vitor Meireles de natureza consultiva e deliberativa que tem por finalidade, em consonância com a Lei Orgânica Municipal, o Plano Plurianual, a Lei de Diretrizes Orçamentárias e a Lei Orçamentária Anual, garantir os instrumentos necessários à efetivação do Plano Diretor Municipal e das políticas de habitação e saneamento básico, </w:t>
      </w:r>
      <w:proofErr w:type="gramStart"/>
      <w:r>
        <w:rPr>
          <w:sz w:val="25"/>
          <w:szCs w:val="25"/>
        </w:rPr>
        <w:t>bem</w:t>
      </w:r>
      <w:proofErr w:type="gramEnd"/>
      <w:r>
        <w:rPr>
          <w:sz w:val="25"/>
          <w:szCs w:val="25"/>
        </w:rPr>
        <w:t xml:space="preserve"> como à promoção do desenvolvimento do território com vistas à melhoria da qualidade de vida e ao equilíbrio ambiental.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Art. 2º</w:t>
      </w:r>
      <w:r>
        <w:rPr>
          <w:rFonts w:ascii="Times New Roman" w:hAnsi="Times New Roman"/>
          <w:sz w:val="25"/>
          <w:szCs w:val="25"/>
        </w:rPr>
        <w:t xml:space="preserve"> Caberá ao NGP a realização de medidas necessárias ao desenvolvimento territorial, das políticas de habitação e saneamento básico, caracterizado pelas seguintes ações: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 – propor, debater, emitir e apresentar diretrizes para a aplicação de instrumentos da política de desenvolvimento e das políticas setoriais em consonância com as deliberações da Conferência Estadual e Nacional das Cidades;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II- propor, debater, emitir e apresentar diretrizes e normas para a implantação dos programas a serem formulados pelos órgãos da administração pública municipal relacionados à política territorial, e em especial o Plano Diretor, bem como políticas de habitação e saneamento básico;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III - acompanhar e avaliar a execução da política territorial, de habitação e de saneamento básico municipal e recomendar as providências necessárias ao cumprimento de seus objetivos;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IV- alterar a concepção do planejamento e gestão democrática;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V – criar, modificar ou extinguir </w:t>
      </w:r>
      <w:proofErr w:type="spellStart"/>
      <w:r>
        <w:rPr>
          <w:rFonts w:ascii="Times New Roman" w:hAnsi="Times New Roman"/>
          <w:sz w:val="25"/>
          <w:szCs w:val="25"/>
        </w:rPr>
        <w:t>macrozonas</w:t>
      </w:r>
      <w:proofErr w:type="spellEnd"/>
      <w:r>
        <w:rPr>
          <w:rFonts w:ascii="Times New Roman" w:hAnsi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</w:rPr>
        <w:t>macroáreas</w:t>
      </w:r>
      <w:proofErr w:type="spellEnd"/>
      <w:r>
        <w:rPr>
          <w:rFonts w:ascii="Times New Roman" w:hAnsi="Times New Roman"/>
          <w:sz w:val="25"/>
          <w:szCs w:val="25"/>
        </w:rPr>
        <w:t xml:space="preserve"> e unidades funcionais na proposta de zoneamento;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VI – alterar ou definir o regime urbanístico adotado, ajustando e </w:t>
      </w:r>
      <w:proofErr w:type="gramStart"/>
      <w:r>
        <w:rPr>
          <w:rFonts w:ascii="Times New Roman" w:hAnsi="Times New Roman"/>
          <w:sz w:val="25"/>
          <w:szCs w:val="25"/>
        </w:rPr>
        <w:t>regulamentando  parâmetros</w:t>
      </w:r>
      <w:proofErr w:type="gramEnd"/>
      <w:r>
        <w:rPr>
          <w:rFonts w:ascii="Times New Roman" w:hAnsi="Times New Roman"/>
          <w:sz w:val="25"/>
          <w:szCs w:val="25"/>
        </w:rPr>
        <w:t xml:space="preserve"> que estabeleçam novas  regras para o ordenamento territorial e uso do solo;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VII – avaliar, acompanhar e recomendar a implementação de políticas de desenvolvimento territorial integradas à políticas locais, regionais, estaduais e nacionais em consonância com a </w:t>
      </w:r>
      <w:proofErr w:type="gramStart"/>
      <w:r>
        <w:rPr>
          <w:rFonts w:ascii="Times New Roman" w:hAnsi="Times New Roman"/>
          <w:sz w:val="25"/>
          <w:szCs w:val="25"/>
        </w:rPr>
        <w:t>Lei  nº</w:t>
      </w:r>
      <w:proofErr w:type="gramEnd"/>
      <w:r>
        <w:rPr>
          <w:rFonts w:ascii="Times New Roman" w:hAnsi="Times New Roman"/>
          <w:sz w:val="25"/>
          <w:szCs w:val="25"/>
        </w:rPr>
        <w:t xml:space="preserve"> 10.257 de 10/07/2006, bem como políticas de habitação e de saneamento básico;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VIII – propor a criação de instrumentos financeiros e institucionais orçamentários para a gestão da política territorial, habitacional e de saneamento básico;  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proofErr w:type="gramStart"/>
      <w:r>
        <w:rPr>
          <w:sz w:val="25"/>
          <w:szCs w:val="25"/>
        </w:rPr>
        <w:t>IX  -</w:t>
      </w:r>
      <w:proofErr w:type="gramEnd"/>
      <w:r>
        <w:rPr>
          <w:sz w:val="25"/>
          <w:szCs w:val="25"/>
        </w:rPr>
        <w:t xml:space="preserve"> sugerir eventos destinados a estimular a conscientização sobre os problemas territoriais, habitacionais e de saneamento básico locais e regionais, conhecimento da legislação pertinente, e a discussão de soluções alternativas para a gestão da cidade, bem como outros temas referentes à política territorial e ambiental do município sob a forma de Conferências, audiências públicas ou encontros; 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X - estimular a participação social;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XI - promover a integração da política territorial, habitacional e de saneamento básico com as políticas sócio-econômicas e ambientais municipais e regionais, principalmente no que tange às políticas de economia solidária;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XII - propor a realização de estudos, pesquisas, debates, seminários ou cursos afetos a política de desenvolvimento territorial, habitacional e de saneamento básico;</w:t>
      </w:r>
    </w:p>
    <w:p w:rsidR="00A307BA" w:rsidRDefault="00A307BA" w:rsidP="00A307BA">
      <w:pPr>
        <w:pStyle w:val="WW-Recuodecorpodetexto2"/>
        <w:spacing w:after="120"/>
        <w:ind w:left="0" w:firstLine="85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XIII - representar a comunidade contra atos particulares individualizados ou de grupos que venham contra os interesses do bem estar comum da população;</w:t>
      </w:r>
    </w:p>
    <w:p w:rsidR="00A307BA" w:rsidRDefault="00A307BA" w:rsidP="00A307BA">
      <w:pPr>
        <w:pStyle w:val="WW-Recuodecorpodetexto2"/>
        <w:spacing w:after="120"/>
        <w:ind w:left="0" w:firstLine="85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XIV - elaborar e aprovar seu Regimento Interno.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XV  -</w:t>
      </w:r>
      <w:proofErr w:type="gramEnd"/>
      <w:r>
        <w:rPr>
          <w:rFonts w:ascii="Times New Roman" w:hAnsi="Times New Roman"/>
          <w:sz w:val="25"/>
          <w:szCs w:val="25"/>
        </w:rPr>
        <w:t xml:space="preserve"> dar publicidade  dos trabalhos e decisões.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1º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Caberá ao NGP a discussão e elaboração de propostas necessárias ao cumprimento do disposto no artigo 2º, as quais serão apresentadas à comunidade em audiência pública.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2º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Após a aprovação em audiência pública, conforme dispõe o parágrafo 1º, as propostas serão formatadas como projeto de lei e encaminhas para aprovação do Legislativo Municipal e posterior sanção ou promulgação do Prefeito Municipal.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25"/>
          <w:szCs w:val="25"/>
        </w:rPr>
      </w:pPr>
    </w:p>
    <w:p w:rsidR="004A27E0" w:rsidRDefault="004A27E0" w:rsidP="004A27E0">
      <w:pPr>
        <w:pStyle w:val="Corpodetexto"/>
        <w:jc w:val="both"/>
        <w:rPr>
          <w:rFonts w:ascii="Times New Roman" w:hAnsi="Times New Roman"/>
          <w:b/>
          <w:sz w:val="25"/>
          <w:szCs w:val="25"/>
        </w:rPr>
      </w:pPr>
    </w:p>
    <w:p w:rsidR="00A307BA" w:rsidRDefault="004A27E0" w:rsidP="004A27E0">
      <w:pPr>
        <w:pStyle w:val="Corpodetexto"/>
        <w:ind w:firstLine="708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 xml:space="preserve"> </w:t>
      </w:r>
      <w:r w:rsidR="00A307BA">
        <w:rPr>
          <w:rFonts w:ascii="Times New Roman" w:hAnsi="Times New Roman"/>
          <w:b/>
          <w:sz w:val="25"/>
          <w:szCs w:val="25"/>
        </w:rPr>
        <w:t>Capítulo II</w:t>
      </w:r>
      <w:bookmarkStart w:id="0" w:name="_GoBack"/>
      <w:bookmarkEnd w:id="0"/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25"/>
          <w:szCs w:val="25"/>
        </w:rPr>
      </w:pPr>
    </w:p>
    <w:p w:rsidR="00A307BA" w:rsidRDefault="00A307BA" w:rsidP="00A307BA">
      <w:pPr>
        <w:pStyle w:val="Corpodetexto"/>
        <w:ind w:left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DA COMPOSIÇÃO DO NÚCLEO GESTOR DE PLANEJAMENTO: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rStyle w:val="Forte1"/>
          <w:sz w:val="25"/>
          <w:szCs w:val="25"/>
        </w:rPr>
        <w:t>Art. 3</w:t>
      </w:r>
      <w:r>
        <w:rPr>
          <w:b/>
          <w:sz w:val="25"/>
          <w:szCs w:val="25"/>
        </w:rPr>
        <w:t>º</w:t>
      </w:r>
      <w:r>
        <w:rPr>
          <w:rStyle w:val="Forte1"/>
          <w:sz w:val="25"/>
          <w:szCs w:val="25"/>
        </w:rPr>
        <w:t xml:space="preserve"> </w:t>
      </w:r>
      <w:r>
        <w:rPr>
          <w:sz w:val="25"/>
          <w:szCs w:val="25"/>
        </w:rPr>
        <w:t>O NGP será composto de membros titulares e suplentes, eleitos ou indicados pelos respectivos órgãos ou categorias.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color w:val="000000"/>
          <w:sz w:val="25"/>
          <w:szCs w:val="25"/>
        </w:rPr>
      </w:pP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I) As representações deverão estar acompanhadas de documentações que comprovem constituição legal;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color w:val="000000"/>
          <w:sz w:val="25"/>
          <w:szCs w:val="25"/>
        </w:rPr>
      </w:pP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II) Para os municípios com população inferior a 10.000 habitantes o Núcleo Gestor de Planejamento será constituído de no mínimo 11 membros efetivos e 11 membros suplentes, assim distribuídos, sendo que os representantes do poder público municipal deverão ser de no máximo 40%: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</w:t>
      </w:r>
      <w:proofErr w:type="gramStart"/>
      <w:r>
        <w:rPr>
          <w:sz w:val="25"/>
          <w:szCs w:val="25"/>
        </w:rPr>
        <w:t>efetivos</w:t>
      </w:r>
      <w:proofErr w:type="gramEnd"/>
      <w:r>
        <w:rPr>
          <w:sz w:val="25"/>
          <w:szCs w:val="25"/>
        </w:rPr>
        <w:tab/>
        <w:t>suplentes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• poder executivo estadual ou federal – ..................</w:t>
      </w:r>
      <w:r w:rsidR="00237078">
        <w:rPr>
          <w:sz w:val="25"/>
          <w:szCs w:val="25"/>
        </w:rPr>
        <w:t>.......</w:t>
      </w:r>
      <w:r>
        <w:rPr>
          <w:sz w:val="25"/>
          <w:szCs w:val="25"/>
        </w:rPr>
        <w:t>......</w:t>
      </w:r>
      <w:r>
        <w:rPr>
          <w:sz w:val="25"/>
          <w:szCs w:val="25"/>
        </w:rPr>
        <w:tab/>
        <w:t xml:space="preserve">1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1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• poder público municipal – ................................................</w:t>
      </w:r>
      <w:r>
        <w:rPr>
          <w:sz w:val="25"/>
          <w:szCs w:val="25"/>
        </w:rPr>
        <w:tab/>
        <w:t xml:space="preserve">3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3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• movimentos populares – ....................................................</w:t>
      </w:r>
      <w:r>
        <w:rPr>
          <w:sz w:val="25"/>
          <w:szCs w:val="25"/>
        </w:rPr>
        <w:tab/>
        <w:t>4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4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• entidades empresariais – ...................................................</w:t>
      </w:r>
      <w:r>
        <w:rPr>
          <w:sz w:val="25"/>
          <w:szCs w:val="25"/>
        </w:rPr>
        <w:tab/>
        <w:t xml:space="preserve">1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1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• entidades representantes de trabalhadores e sindicais – ....</w:t>
      </w:r>
      <w:r>
        <w:rPr>
          <w:sz w:val="25"/>
          <w:szCs w:val="25"/>
        </w:rPr>
        <w:tab/>
        <w:t xml:space="preserve">1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1</w:t>
      </w: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</w:p>
    <w:p w:rsidR="00A307BA" w:rsidRDefault="00A307BA" w:rsidP="00A307BA">
      <w:pPr>
        <w:autoSpaceDE w:val="0"/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§ 1º O </w:t>
      </w:r>
      <w:r>
        <w:rPr>
          <w:i/>
          <w:sz w:val="25"/>
          <w:szCs w:val="25"/>
        </w:rPr>
        <w:t>Núcleo Gestor de Planejamento</w:t>
      </w:r>
      <w:r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>estará vinculado ao Gabinete do Prefeito ou a Secretaria de Planejamento local;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§ 2º Os membros do </w:t>
      </w:r>
      <w:r>
        <w:rPr>
          <w:i/>
          <w:sz w:val="25"/>
          <w:szCs w:val="25"/>
        </w:rPr>
        <w:t xml:space="preserve">Núcleo Gestor de </w:t>
      </w:r>
      <w:proofErr w:type="gramStart"/>
      <w:r>
        <w:rPr>
          <w:i/>
          <w:sz w:val="25"/>
          <w:szCs w:val="25"/>
        </w:rPr>
        <w:t xml:space="preserve">Planejamento </w:t>
      </w:r>
      <w:r>
        <w:rPr>
          <w:sz w:val="25"/>
          <w:szCs w:val="25"/>
        </w:rPr>
        <w:t xml:space="preserve"> terão</w:t>
      </w:r>
      <w:proofErr w:type="gramEnd"/>
      <w:r>
        <w:rPr>
          <w:sz w:val="25"/>
          <w:szCs w:val="25"/>
        </w:rPr>
        <w:t xml:space="preserve"> suplentes de mesma entidade ou órgão de origem dos respectivos titulares indicados também pelas entidades;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§ 3º O regimento interno será aprovado pelo próprio </w:t>
      </w:r>
      <w:r>
        <w:rPr>
          <w:i/>
          <w:sz w:val="25"/>
          <w:szCs w:val="25"/>
        </w:rPr>
        <w:t xml:space="preserve">Núcleo Gestor de Planejamento </w:t>
      </w:r>
      <w:r>
        <w:rPr>
          <w:sz w:val="25"/>
          <w:szCs w:val="25"/>
        </w:rPr>
        <w:t>que</w:t>
      </w:r>
      <w:r>
        <w:rPr>
          <w:i/>
          <w:sz w:val="25"/>
          <w:szCs w:val="25"/>
        </w:rPr>
        <w:t xml:space="preserve"> </w:t>
      </w:r>
      <w:r>
        <w:rPr>
          <w:sz w:val="25"/>
          <w:szCs w:val="25"/>
        </w:rPr>
        <w:t>disciplinará as normas e os procedimentos relativos à eleição dos órgãos e entidades que comporão sua estrutura.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§ 4</w:t>
      </w:r>
      <w:proofErr w:type="gramStart"/>
      <w:r>
        <w:rPr>
          <w:sz w:val="25"/>
          <w:szCs w:val="25"/>
        </w:rPr>
        <w:t>º  Os</w:t>
      </w:r>
      <w:proofErr w:type="gramEnd"/>
      <w:r>
        <w:rPr>
          <w:sz w:val="25"/>
          <w:szCs w:val="25"/>
        </w:rPr>
        <w:t xml:space="preserve"> representantes, titulares e suplentes  serão nomeados por Decreto do Prefeito Municipal, podendo ser reconduzido por igual período, uma única vez.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§ 5º O </w:t>
      </w:r>
      <w:r>
        <w:rPr>
          <w:i/>
          <w:sz w:val="25"/>
          <w:szCs w:val="25"/>
        </w:rPr>
        <w:t xml:space="preserve">Núcleo Gestor de Planejamento </w:t>
      </w:r>
      <w:proofErr w:type="gramStart"/>
      <w:r>
        <w:rPr>
          <w:i/>
          <w:sz w:val="25"/>
          <w:szCs w:val="25"/>
        </w:rPr>
        <w:t xml:space="preserve">Territorial </w:t>
      </w:r>
      <w:r>
        <w:rPr>
          <w:sz w:val="25"/>
          <w:szCs w:val="25"/>
        </w:rPr>
        <w:t xml:space="preserve"> deliberará</w:t>
      </w:r>
      <w:proofErr w:type="gramEnd"/>
      <w:r>
        <w:rPr>
          <w:sz w:val="25"/>
          <w:szCs w:val="25"/>
        </w:rPr>
        <w:t xml:space="preserve"> mediante resoluções, por maioria simples dos presentes, tendo seu presidente o voto de qualidade no caso de empate.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§ 6º Os membros do </w:t>
      </w:r>
      <w:r>
        <w:rPr>
          <w:i/>
          <w:sz w:val="25"/>
          <w:szCs w:val="25"/>
        </w:rPr>
        <w:t>Núcleo Gestor de Planejamento</w:t>
      </w:r>
      <w:r>
        <w:rPr>
          <w:sz w:val="25"/>
          <w:szCs w:val="25"/>
        </w:rPr>
        <w:t xml:space="preserve"> terão mandato de dois anos, podendo ser reconduzidos por igual período, uma única vez. Poderá ser indicado substituto aos membros nos casos dos representantes do poder público municipal e no poder executivo estadual ou federal, quando da troca de governo.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</w:p>
    <w:p w:rsidR="00A307BA" w:rsidRDefault="00A307BA" w:rsidP="00A307BA">
      <w:pPr>
        <w:pStyle w:val="Corpodetexto"/>
        <w:shd w:val="clear" w:color="auto" w:fill="FFFFFF"/>
        <w:ind w:firstLine="851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Capítulo III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b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eastAsia="Arial Unicode MS" w:hAnsi="Times New Roman"/>
          <w:b/>
          <w:sz w:val="25"/>
          <w:szCs w:val="25"/>
        </w:rPr>
      </w:pPr>
      <w:r>
        <w:rPr>
          <w:rFonts w:ascii="Times New Roman" w:eastAsia="Arial Unicode MS" w:hAnsi="Times New Roman"/>
          <w:b/>
          <w:sz w:val="25"/>
          <w:szCs w:val="25"/>
        </w:rPr>
        <w:t xml:space="preserve">DAS DISPOSIÇÕES FINAIS </w:t>
      </w: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</w:p>
    <w:p w:rsidR="00A307BA" w:rsidRDefault="00A307BA" w:rsidP="00A307BA">
      <w:pPr>
        <w:spacing w:after="120" w:line="240" w:lineRule="auto"/>
        <w:ind w:firstLine="851"/>
        <w:rPr>
          <w:sz w:val="25"/>
          <w:szCs w:val="25"/>
        </w:rPr>
      </w:pPr>
      <w:r>
        <w:rPr>
          <w:b/>
          <w:sz w:val="25"/>
          <w:szCs w:val="25"/>
        </w:rPr>
        <w:t>Art. 4º</w:t>
      </w:r>
      <w:r>
        <w:rPr>
          <w:sz w:val="25"/>
          <w:szCs w:val="25"/>
        </w:rPr>
        <w:t xml:space="preserve"> A iniciativa de modificar a legislação urbanística do município, quer por parte do Poder Executivo, do Poder Legislativo ou dos cidadãos, deverá ser anexada de parecer do NGP.</w:t>
      </w:r>
    </w:p>
    <w:p w:rsidR="00A307BA" w:rsidRDefault="00A307BA" w:rsidP="00A307BA">
      <w:pPr>
        <w:pStyle w:val="WW-NormalWeb"/>
        <w:spacing w:before="0" w:after="120"/>
        <w:ind w:firstLine="851"/>
        <w:jc w:val="both"/>
        <w:rPr>
          <w:rFonts w:ascii="Times New Roman" w:hAnsi="Times New Roman"/>
          <w:b/>
          <w:sz w:val="25"/>
          <w:szCs w:val="25"/>
        </w:rPr>
      </w:pPr>
    </w:p>
    <w:p w:rsidR="00A307BA" w:rsidRDefault="00A307BA" w:rsidP="00A307BA">
      <w:pPr>
        <w:pStyle w:val="WW-NormalWeb"/>
        <w:spacing w:before="0" w:after="120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Art. 6º</w:t>
      </w:r>
      <w:r>
        <w:rPr>
          <w:rFonts w:ascii="Times New Roman" w:hAnsi="Times New Roman"/>
          <w:sz w:val="25"/>
          <w:szCs w:val="25"/>
        </w:rPr>
        <w:t xml:space="preserve"> Caberá ao Executivo Municipal prover o apoio administrativo e os meios necessários à execução dos trabalhos do NGP.</w:t>
      </w:r>
    </w:p>
    <w:p w:rsidR="00A307BA" w:rsidRDefault="00A307BA" w:rsidP="00A307BA">
      <w:pPr>
        <w:pStyle w:val="WW-NormalWeb"/>
        <w:spacing w:before="0" w:after="120"/>
        <w:ind w:firstLine="851"/>
        <w:jc w:val="both"/>
        <w:rPr>
          <w:rFonts w:ascii="Times New Roman" w:eastAsia="Times New Roman" w:hAnsi="Times New Roman"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Art. 7</w:t>
      </w:r>
      <w:proofErr w:type="gramStart"/>
      <w:r>
        <w:rPr>
          <w:rFonts w:ascii="Times New Roman" w:hAnsi="Times New Roman"/>
          <w:b/>
          <w:sz w:val="25"/>
          <w:szCs w:val="25"/>
        </w:rPr>
        <w:t xml:space="preserve">º </w:t>
      </w:r>
      <w:r>
        <w:rPr>
          <w:rFonts w:ascii="Times New Roman" w:hAnsi="Times New Roman"/>
          <w:sz w:val="25"/>
          <w:szCs w:val="25"/>
        </w:rPr>
        <w:t xml:space="preserve"> A</w:t>
      </w:r>
      <w:proofErr w:type="gramEnd"/>
      <w:r>
        <w:rPr>
          <w:rFonts w:ascii="Times New Roman" w:hAnsi="Times New Roman"/>
          <w:sz w:val="25"/>
          <w:szCs w:val="25"/>
        </w:rPr>
        <w:t xml:space="preserve"> presente Lei Complementar entra em vigor na data da sua publicação, revogadas as disposições em contrário, especialmente a Lei Complementar n. 028/2007.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Vitor Meireles (SC), em 30 de junho de 2009.</w:t>
      </w: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A307BA" w:rsidRDefault="00A307BA" w:rsidP="00A307BA">
      <w:pPr>
        <w:pStyle w:val="Corpodetex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A307BA" w:rsidRDefault="00A307BA" w:rsidP="00A307BA">
      <w:pPr>
        <w:pStyle w:val="Corpodetexto"/>
        <w:jc w:val="center"/>
        <w:rPr>
          <w:rFonts w:ascii="Times New Roman" w:hAnsi="Times New Roman"/>
          <w:b/>
          <w:sz w:val="25"/>
          <w:szCs w:val="25"/>
        </w:rPr>
      </w:pPr>
    </w:p>
    <w:p w:rsidR="00A307BA" w:rsidRDefault="00A307BA" w:rsidP="00A307BA">
      <w:pPr>
        <w:pStyle w:val="Corpodetexto"/>
        <w:jc w:val="center"/>
        <w:rPr>
          <w:rFonts w:ascii="Times New Roman" w:hAnsi="Times New Roman"/>
          <w:b/>
          <w:sz w:val="25"/>
          <w:szCs w:val="25"/>
        </w:rPr>
      </w:pPr>
    </w:p>
    <w:p w:rsidR="00A307BA" w:rsidRDefault="00A307BA" w:rsidP="00A307BA">
      <w:pPr>
        <w:pStyle w:val="Corpodetex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IVANOR BOING</w:t>
      </w:r>
    </w:p>
    <w:p w:rsidR="00A307BA" w:rsidRDefault="00A307BA" w:rsidP="00A307BA">
      <w:pPr>
        <w:pStyle w:val="Corpodetex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Prefeito Municipal</w:t>
      </w:r>
    </w:p>
    <w:p w:rsidR="00A307BA" w:rsidRDefault="00A307BA" w:rsidP="00A307BA">
      <w:pPr>
        <w:rPr>
          <w:sz w:val="25"/>
          <w:szCs w:val="25"/>
        </w:rPr>
      </w:pPr>
    </w:p>
    <w:p w:rsidR="00C14400" w:rsidRDefault="00C14400"/>
    <w:sectPr w:rsidR="00C14400" w:rsidSect="00897E44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4D90"/>
    <w:rsid w:val="00237078"/>
    <w:rsid w:val="00407B19"/>
    <w:rsid w:val="004A27E0"/>
    <w:rsid w:val="00552819"/>
    <w:rsid w:val="00654FAC"/>
    <w:rsid w:val="00681541"/>
    <w:rsid w:val="00897E44"/>
    <w:rsid w:val="008A7677"/>
    <w:rsid w:val="00A307BA"/>
    <w:rsid w:val="00AE4D90"/>
    <w:rsid w:val="00C14400"/>
    <w:rsid w:val="00DB6535"/>
    <w:rsid w:val="00F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CA208-B972-4A45-B462-BF85E0C0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7BA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307BA"/>
    <w:pPr>
      <w:suppressAutoHyphens/>
      <w:spacing w:after="120" w:line="240" w:lineRule="auto"/>
      <w:ind w:firstLine="0"/>
      <w:jc w:val="left"/>
    </w:pPr>
    <w:rPr>
      <w:rFonts w:ascii="Arial" w:eastAsia="Times New Roman" w:hAnsi="Arial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307B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NormalWeb">
    <w:name w:val="WW-Normal (Web)"/>
    <w:basedOn w:val="Normal"/>
    <w:rsid w:val="00A307BA"/>
    <w:pPr>
      <w:suppressAutoHyphens/>
      <w:spacing w:before="280" w:after="280" w:line="240" w:lineRule="auto"/>
      <w:ind w:firstLine="0"/>
      <w:jc w:val="left"/>
    </w:pPr>
    <w:rPr>
      <w:rFonts w:ascii="Arial Unicode MS" w:eastAsia="Arial Unicode MS" w:hAnsi="Arial Unicode MS"/>
      <w:szCs w:val="20"/>
      <w:lang w:eastAsia="ar-SA"/>
    </w:rPr>
  </w:style>
  <w:style w:type="paragraph" w:customStyle="1" w:styleId="WW-Recuodecorpodetexto2">
    <w:name w:val="WW-Recuo de corpo de texto 2"/>
    <w:basedOn w:val="Normal"/>
    <w:rsid w:val="00A307BA"/>
    <w:pPr>
      <w:suppressAutoHyphens/>
      <w:spacing w:after="0" w:line="240" w:lineRule="auto"/>
      <w:ind w:left="708" w:firstLine="0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Forte1">
    <w:name w:val="Forte1"/>
    <w:rsid w:val="00A307BA"/>
    <w:rPr>
      <w:b/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F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1056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WIN7</cp:lastModifiedBy>
  <cp:revision>5</cp:revision>
  <cp:lastPrinted>2019-05-20T12:17:00Z</cp:lastPrinted>
  <dcterms:created xsi:type="dcterms:W3CDTF">2009-07-14T14:34:00Z</dcterms:created>
  <dcterms:modified xsi:type="dcterms:W3CDTF">2019-05-20T12:33:00Z</dcterms:modified>
</cp:coreProperties>
</file>